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581" w:type="pct"/>
        <w:jc w:val="center"/>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2312"/>
      </w:tblGrid>
      <w:tr w:rsidR="00F845AE" w:rsidRPr="00F845AE" w14:paraId="78ABC76A" w14:textId="77777777" w:rsidTr="00F845AE">
        <w:trPr>
          <w:jc w:val="center"/>
        </w:trPr>
        <w:tc>
          <w:tcPr>
            <w:tcW w:w="5000" w:type="pc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hideMark/>
          </w:tcPr>
          <w:tbl>
            <w:tblPr>
              <w:tblW w:w="12300" w:type="dxa"/>
              <w:jc w:val="center"/>
              <w:tblBorders>
                <w:top w:val="single" w:sz="2" w:space="0" w:color="auto"/>
                <w:left w:val="single" w:sz="2" w:space="0" w:color="auto"/>
                <w:bottom w:val="single" w:sz="2" w:space="0" w:color="auto"/>
                <w:right w:val="single" w:sz="2" w:space="0" w:color="auto"/>
              </w:tblBorders>
              <w:tblCellMar>
                <w:top w:w="15" w:type="dxa"/>
                <w:left w:w="300" w:type="dxa"/>
                <w:bottom w:w="15" w:type="dxa"/>
                <w:right w:w="300" w:type="dxa"/>
              </w:tblCellMar>
              <w:tblLook w:val="04A0" w:firstRow="1" w:lastRow="0" w:firstColumn="1" w:lastColumn="0" w:noHBand="0" w:noVBand="1"/>
            </w:tblPr>
            <w:tblGrid>
              <w:gridCol w:w="12300"/>
            </w:tblGrid>
            <w:tr w:rsidR="00F845AE" w:rsidRPr="00F845AE" w14:paraId="0D33B8ED" w14:textId="77777777">
              <w:trPr>
                <w:jc w:val="center"/>
              </w:trPr>
              <w:tc>
                <w:tcPr>
                  <w:tcW w:w="0" w:type="auto"/>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hideMark/>
                </w:tcPr>
                <w:tbl>
                  <w:tblPr>
                    <w:tblW w:w="4770" w:type="pct"/>
                    <w:shd w:val="clear" w:color="auto" w:fill="FFFFFF"/>
                    <w:tblCellMar>
                      <w:top w:w="15" w:type="dxa"/>
                      <w:left w:w="15" w:type="dxa"/>
                      <w:bottom w:w="15" w:type="dxa"/>
                      <w:right w:w="15" w:type="dxa"/>
                    </w:tblCellMar>
                    <w:tblLook w:val="04A0" w:firstRow="1" w:lastRow="0" w:firstColumn="1" w:lastColumn="0" w:noHBand="0" w:noVBand="1"/>
                  </w:tblPr>
                  <w:tblGrid>
                    <w:gridCol w:w="12248"/>
                  </w:tblGrid>
                  <w:tr w:rsidR="00F845AE" w:rsidRPr="00F845AE" w14:paraId="4FB1DF6D" w14:textId="77777777" w:rsidTr="00F845AE">
                    <w:tc>
                      <w:tcPr>
                        <w:tcW w:w="5000" w:type="pct"/>
                        <w:tcBorders>
                          <w:top w:val="single" w:sz="2" w:space="0" w:color="auto"/>
                          <w:left w:val="single" w:sz="2" w:space="0" w:color="auto"/>
                          <w:bottom w:val="single" w:sz="2" w:space="0" w:color="auto"/>
                          <w:right w:val="single" w:sz="2" w:space="0" w:color="auto"/>
                        </w:tcBorders>
                        <w:shd w:val="clear" w:color="auto" w:fill="FFFFFF"/>
                        <w:tcMar>
                          <w:top w:w="0" w:type="dxa"/>
                          <w:left w:w="0" w:type="dxa"/>
                          <w:bottom w:w="0" w:type="dxa"/>
                          <w:right w:w="0" w:type="dxa"/>
                        </w:tcMar>
                        <w:hideMark/>
                      </w:tcPr>
                      <w:tbl>
                        <w:tblPr>
                          <w:tblpPr w:leftFromText="45" w:rightFromText="45" w:vertAnchor="text"/>
                          <w:tblW w:w="1223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2237"/>
                        </w:tblGrid>
                        <w:tr w:rsidR="00F845AE" w:rsidRPr="00F845AE" w14:paraId="3A147B6B" w14:textId="77777777" w:rsidTr="00F845AE">
                          <w:tc>
                            <w:tcPr>
                              <w:tcW w:w="5000" w:type="pct"/>
                              <w:vAlign w:val="center"/>
                              <w:hideMark/>
                            </w:tcPr>
                            <w:p w14:paraId="655647FC" w14:textId="3313FE6C" w:rsidR="00F845AE" w:rsidRPr="00F845AE" w:rsidRDefault="00F845AE" w:rsidP="00F845AE">
                              <w:pPr>
                                <w:spacing w:after="0" w:line="240" w:lineRule="auto"/>
                                <w:rPr>
                                  <w:rFonts w:ascii="Arial" w:eastAsia="Times New Roman" w:hAnsi="Arial" w:cs="Arial"/>
                                  <w:b/>
                                  <w:bCs/>
                                  <w:color w:val="ADAFAA"/>
                                  <w:kern w:val="0"/>
                                  <w:sz w:val="24"/>
                                  <w:szCs w:val="24"/>
                                  <w14:ligatures w14:val="none"/>
                                </w:rPr>
                              </w:pPr>
                              <w:r w:rsidRPr="00F845AE">
                                <w:rPr>
                                  <w:rFonts w:ascii="Arial" w:eastAsia="Times New Roman" w:hAnsi="Arial" w:cs="Arial"/>
                                  <w:b/>
                                  <w:bCs/>
                                  <w:color w:val="212F63"/>
                                  <w:kern w:val="0"/>
                                  <w:sz w:val="40"/>
                                  <w:szCs w:val="40"/>
                                  <w14:ligatures w14:val="none"/>
                                </w:rPr>
                                <w:t>OneAmerica - Expedited Underwriting Expansion</w:t>
                              </w:r>
                            </w:p>
                          </w:tc>
                        </w:tr>
                        <w:tr w:rsidR="00F845AE" w:rsidRPr="00F845AE" w14:paraId="4A6D8039" w14:textId="77777777" w:rsidTr="00F845AE">
                          <w:tc>
                            <w:tcPr>
                              <w:tcW w:w="5000" w:type="pc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tbl>
                              <w:tblPr>
                                <w:tblW w:w="4987" w:type="pct"/>
                                <w:tblCellMar>
                                  <w:top w:w="15" w:type="dxa"/>
                                  <w:left w:w="15" w:type="dxa"/>
                                  <w:bottom w:w="15" w:type="dxa"/>
                                  <w:right w:w="15" w:type="dxa"/>
                                </w:tblCellMar>
                                <w:tblLook w:val="04A0" w:firstRow="1" w:lastRow="0" w:firstColumn="1" w:lastColumn="0" w:noHBand="0" w:noVBand="1"/>
                              </w:tblPr>
                              <w:tblGrid>
                                <w:gridCol w:w="12194"/>
                              </w:tblGrid>
                              <w:tr w:rsidR="00F845AE" w:rsidRPr="00F845AE" w14:paraId="3447317C" w14:textId="77777777" w:rsidTr="00F845AE">
                                <w:tc>
                                  <w:tcPr>
                                    <w:tcW w:w="5000" w:type="pct"/>
                                    <w:tcBorders>
                                      <w:top w:val="single" w:sz="2" w:space="0" w:color="auto"/>
                                      <w:left w:val="single" w:sz="2" w:space="0" w:color="auto"/>
                                      <w:bottom w:val="single" w:sz="2" w:space="0" w:color="auto"/>
                                      <w:right w:val="single" w:sz="2" w:space="0" w:color="auto"/>
                                    </w:tcBorders>
                                    <w:tcMar>
                                      <w:top w:w="150" w:type="dxa"/>
                                      <w:left w:w="0" w:type="dxa"/>
                                      <w:bottom w:w="150" w:type="dxa"/>
                                      <w:right w:w="0" w:type="dxa"/>
                                    </w:tcMar>
                                    <w:vAlign w:val="center"/>
                                    <w:hideMark/>
                                  </w:tcPr>
                                  <w:p w14:paraId="3ECF8ECA" w14:textId="77777777" w:rsidR="00F845AE" w:rsidRPr="00F845AE" w:rsidRDefault="00F845AE" w:rsidP="00F845AE">
                                    <w:pPr>
                                      <w:spacing w:after="100" w:afterAutospacing="1" w:line="240" w:lineRule="auto"/>
                                      <w:rPr>
                                        <w:rFonts w:ascii="Arial" w:eastAsia="Times New Roman" w:hAnsi="Arial" w:cs="Arial"/>
                                        <w:color w:val="5B5C60"/>
                                        <w:kern w:val="0"/>
                                        <w:sz w:val="24"/>
                                        <w:szCs w:val="24"/>
                                        <w14:ligatures w14:val="none"/>
                                      </w:rPr>
                                    </w:pPr>
                                    <w:r w:rsidRPr="00F845AE">
                                      <w:rPr>
                                        <w:rFonts w:ascii="Arial" w:eastAsia="Times New Roman" w:hAnsi="Arial" w:cs="Arial"/>
                                        <w:noProof/>
                                        <w:color w:val="5B5C60"/>
                                        <w:kern w:val="0"/>
                                        <w:sz w:val="24"/>
                                        <w:szCs w:val="24"/>
                                        <w14:ligatures w14:val="none"/>
                                      </w:rPr>
                                      <w:drawing>
                                        <wp:inline distT="0" distB="0" distL="0" distR="0" wp14:anchorId="710E325A" wp14:editId="791039D0">
                                          <wp:extent cx="7683690" cy="1739265"/>
                                          <wp:effectExtent l="0" t="0" r="0" b="0"/>
                                          <wp:docPr id="3" name="Picture 4" descr="One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Amer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2252" cy="1752521"/>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12183"/>
                                    </w:tblGrid>
                                    <w:tr w:rsidR="00F845AE" w:rsidRPr="00F845AE" w14:paraId="0AA9AEE6" w14:textId="77777777">
                                      <w:tc>
                                        <w:tcPr>
                                          <w:tcW w:w="0" w:type="auto"/>
                                          <w:tcBorders>
                                            <w:top w:val="single" w:sz="2" w:space="0" w:color="auto"/>
                                            <w:left w:val="single" w:sz="2" w:space="0" w:color="auto"/>
                                            <w:bottom w:val="single" w:sz="2" w:space="0" w:color="auto"/>
                                            <w:right w:val="single" w:sz="2" w:space="0" w:color="auto"/>
                                          </w:tcBorders>
                                          <w:tcMar>
                                            <w:top w:w="0" w:type="dxa"/>
                                            <w:left w:w="150" w:type="dxa"/>
                                            <w:bottom w:w="150" w:type="dxa"/>
                                            <w:right w:w="0" w:type="dxa"/>
                                          </w:tcMar>
                                          <w:vAlign w:val="center"/>
                                          <w:hideMark/>
                                        </w:tcPr>
                                        <w:p w14:paraId="5A730C3F" w14:textId="4ADA4849" w:rsidR="00F845AE" w:rsidRPr="00F845AE" w:rsidRDefault="00223572" w:rsidP="00223572">
                                          <w:pPr>
                                            <w:rPr>
                                              <w:rFonts w:ascii="Times New Roman" w:eastAsia="Times New Roman" w:hAnsi="Times New Roman" w:cs="Times New Roman"/>
                                              <w:color w:val="5B5C60"/>
                                              <w:kern w:val="0"/>
                                              <w:sz w:val="24"/>
                                              <w:szCs w:val="24"/>
                                              <w14:ligatures w14:val="none"/>
                                            </w:rPr>
                                          </w:pPr>
                                          <w:r w:rsidRPr="00F845AE">
                                            <w:rPr>
                                              <w:rFonts w:ascii="Georgia" w:eastAsia="Times New Roman" w:hAnsi="Georgia" w:cs="Times New Roman"/>
                                              <w:kern w:val="0"/>
                                              <w:sz w:val="39"/>
                                              <w:szCs w:val="39"/>
                                              <w14:ligatures w14:val="none"/>
                                            </w:rPr>
                                            <w:t>Expedited Underwriting Expansio</w:t>
                                          </w:r>
                                          <w:r>
                                            <w:rPr>
                                              <w:rFonts w:ascii="Georgia" w:eastAsia="Times New Roman" w:hAnsi="Georgia" w:cs="Times New Roman"/>
                                              <w:kern w:val="0"/>
                                              <w:sz w:val="39"/>
                                              <w:szCs w:val="39"/>
                                              <w14:ligatures w14:val="none"/>
                                            </w:rPr>
                                            <w:t>n</w:t>
                                          </w:r>
                                        </w:p>
                                      </w:tc>
                                    </w:tr>
                                  </w:tbl>
                                  <w:p w14:paraId="2AA75126" w14:textId="77777777" w:rsidR="00F845AE" w:rsidRPr="00F845AE" w:rsidRDefault="00F845AE" w:rsidP="00F845AE">
                                    <w:pPr>
                                      <w:spacing w:after="0" w:line="240" w:lineRule="auto"/>
                                      <w:rPr>
                                        <w:rFonts w:ascii="Times New Roman" w:eastAsia="Times New Roman" w:hAnsi="Times New Roman" w:cs="Times New Roman"/>
                                        <w:vanish/>
                                        <w:color w:val="5B5C60"/>
                                        <w:kern w:val="0"/>
                                        <w:sz w:val="24"/>
                                        <w:szCs w:val="24"/>
                                        <w14:ligatures w14:val="none"/>
                                      </w:rPr>
                                    </w:pPr>
                                  </w:p>
                                  <w:tbl>
                                    <w:tblPr>
                                      <w:tblW w:w="5000" w:type="pct"/>
                                      <w:tblCellMar>
                                        <w:top w:w="15" w:type="dxa"/>
                                        <w:left w:w="15" w:type="dxa"/>
                                        <w:bottom w:w="15" w:type="dxa"/>
                                        <w:right w:w="15" w:type="dxa"/>
                                      </w:tblCellMar>
                                      <w:tblLook w:val="04A0" w:firstRow="1" w:lastRow="0" w:firstColumn="1" w:lastColumn="0" w:noHBand="0" w:noVBand="1"/>
                                    </w:tblPr>
                                    <w:tblGrid>
                                      <w:gridCol w:w="12183"/>
                                    </w:tblGrid>
                                    <w:tr w:rsidR="00F845AE" w:rsidRPr="00F845AE" w14:paraId="32D543E0" w14:textId="77777777">
                                      <w:tc>
                                        <w:tcPr>
                                          <w:tcW w:w="0" w:type="auto"/>
                                          <w:tcBorders>
                                            <w:top w:val="single" w:sz="2" w:space="0" w:color="auto"/>
                                            <w:left w:val="single" w:sz="2" w:space="0" w:color="auto"/>
                                            <w:bottom w:val="single" w:sz="2" w:space="0" w:color="auto"/>
                                            <w:right w:val="single" w:sz="2" w:space="0" w:color="auto"/>
                                          </w:tcBorders>
                                          <w:shd w:val="clear" w:color="auto" w:fill="auto"/>
                                          <w:tcMar>
                                            <w:top w:w="0" w:type="dxa"/>
                                            <w:left w:w="0" w:type="dxa"/>
                                            <w:bottom w:w="0" w:type="dxa"/>
                                            <w:right w:w="0" w:type="dxa"/>
                                          </w:tcMar>
                                          <w:vAlign w:val="center"/>
                                          <w:hideMark/>
                                        </w:tcPr>
                                        <w:p w14:paraId="6FE0DCFE" w14:textId="77777777" w:rsidR="00F845AE" w:rsidRPr="00F845AE" w:rsidRDefault="00F845AE" w:rsidP="00F845AE">
                                          <w:pPr>
                                            <w:spacing w:after="0" w:line="360" w:lineRule="atLeast"/>
                                            <w:ind w:left="720"/>
                                            <w:rPr>
                                              <w:rFonts w:ascii="Times New Roman" w:eastAsia="Times New Roman" w:hAnsi="Times New Roman" w:cs="Times New Roman"/>
                                              <w:kern w:val="0"/>
                                              <w:sz w:val="24"/>
                                              <w:szCs w:val="24"/>
                                              <w14:ligatures w14:val="none"/>
                                            </w:rPr>
                                          </w:pPr>
                                          <w:r w:rsidRPr="00F845AE">
                                            <w:rPr>
                                              <w:rFonts w:ascii="Arial" w:eastAsia="Times New Roman" w:hAnsi="Arial" w:cs="Arial"/>
                                              <w:kern w:val="0"/>
                                              <w:sz w:val="24"/>
                                              <w:szCs w:val="24"/>
                                              <w14:ligatures w14:val="none"/>
                                            </w:rPr>
                                            <w:t>OneAmerica</w:t>
                                          </w:r>
                                          <w:r w:rsidRPr="00F845AE">
                                            <w:rPr>
                                              <w:rFonts w:ascii="Arial" w:eastAsia="Times New Roman" w:hAnsi="Arial" w:cs="Arial"/>
                                              <w:kern w:val="0"/>
                                              <w:sz w:val="18"/>
                                              <w:szCs w:val="18"/>
                                              <w:vertAlign w:val="superscript"/>
                                              <w14:ligatures w14:val="none"/>
                                            </w:rPr>
                                            <w:t>®</w:t>
                                          </w:r>
                                          <w:r w:rsidRPr="00F845AE">
                                            <w:rPr>
                                              <w:rFonts w:ascii="Arial" w:eastAsia="Times New Roman" w:hAnsi="Arial" w:cs="Arial"/>
                                              <w:kern w:val="0"/>
                                              <w:sz w:val="24"/>
                                              <w:szCs w:val="24"/>
                                              <w14:ligatures w14:val="none"/>
                                            </w:rPr>
                                            <w:t> is constantly looking for opportunities to improve our new business and underwriting processes for you and your clients.</w:t>
                                          </w:r>
                                          <w:r w:rsidRPr="00F845AE">
                                            <w:rPr>
                                              <w:rFonts w:ascii="Times New Roman" w:eastAsia="Times New Roman" w:hAnsi="Times New Roman" w:cs="Times New Roman"/>
                                              <w:kern w:val="0"/>
                                              <w:sz w:val="24"/>
                                              <w:szCs w:val="24"/>
                                              <w14:ligatures w14:val="none"/>
                                            </w:rPr>
                                            <w:br/>
                                            <w:t> </w:t>
                                          </w:r>
                                        </w:p>
                                        <w:p w14:paraId="208AF356" w14:textId="77777777" w:rsidR="00F845AE" w:rsidRPr="00F845AE" w:rsidRDefault="00F845AE" w:rsidP="00F845AE">
                                          <w:pPr>
                                            <w:spacing w:after="0" w:line="360" w:lineRule="atLeast"/>
                                            <w:ind w:left="720"/>
                                            <w:rPr>
                                              <w:rFonts w:ascii="Times New Roman" w:eastAsia="Times New Roman" w:hAnsi="Times New Roman" w:cs="Times New Roman"/>
                                              <w:color w:val="5B5C60"/>
                                              <w:kern w:val="0"/>
                                              <w:sz w:val="24"/>
                                              <w:szCs w:val="24"/>
                                              <w14:ligatures w14:val="none"/>
                                            </w:rPr>
                                          </w:pPr>
                                          <w:r w:rsidRPr="00F845AE">
                                            <w:rPr>
                                              <w:rFonts w:ascii="Times New Roman" w:eastAsia="Times New Roman" w:hAnsi="Times New Roman" w:cs="Times New Roman"/>
                                              <w:kern w:val="0"/>
                                              <w:sz w:val="24"/>
                                              <w:szCs w:val="24"/>
                                              <w14:ligatures w14:val="none"/>
                                            </w:rPr>
                                            <w:t>Effective </w:t>
                                          </w:r>
                                          <w:r w:rsidRPr="00F845AE">
                                            <w:rPr>
                                              <w:rFonts w:ascii="Times New Roman" w:eastAsia="Times New Roman" w:hAnsi="Times New Roman" w:cs="Times New Roman"/>
                                              <w:b/>
                                              <w:bCs/>
                                              <w:kern w:val="0"/>
                                              <w:sz w:val="24"/>
                                              <w:szCs w:val="24"/>
                                              <w14:ligatures w14:val="none"/>
                                            </w:rPr>
                                            <w:t>June 28, 2023</w:t>
                                          </w:r>
                                          <w:r w:rsidRPr="00F845AE">
                                            <w:rPr>
                                              <w:rFonts w:ascii="Times New Roman" w:eastAsia="Times New Roman" w:hAnsi="Times New Roman" w:cs="Times New Roman"/>
                                              <w:kern w:val="0"/>
                                              <w:sz w:val="24"/>
                                              <w:szCs w:val="24"/>
                                              <w14:ligatures w14:val="none"/>
                                            </w:rPr>
                                            <w:t>, all Asset Care applications with a total amount to underwrite (TATU) of $500k or less will be eligible for expedited underwriting</w:t>
                                          </w:r>
                                          <w:r w:rsidRPr="00F845AE">
                                            <w:rPr>
                                              <w:rFonts w:ascii="Times New Roman" w:eastAsia="Times New Roman" w:hAnsi="Times New Roman" w:cs="Times New Roman"/>
                                              <w:kern w:val="0"/>
                                              <w:sz w:val="18"/>
                                              <w:szCs w:val="18"/>
                                              <w:vertAlign w:val="superscript"/>
                                              <w14:ligatures w14:val="none"/>
                                            </w:rPr>
                                            <w:t>1</w:t>
                                          </w:r>
                                          <w:r w:rsidRPr="00F845AE">
                                            <w:rPr>
                                              <w:rFonts w:ascii="Times New Roman" w:eastAsia="Times New Roman" w:hAnsi="Times New Roman" w:cs="Times New Roman"/>
                                              <w:kern w:val="0"/>
                                              <w:sz w:val="24"/>
                                              <w:szCs w:val="24"/>
                                              <w14:ligatures w14:val="none"/>
                                            </w:rPr>
                                            <w:t>. Currently, the TATU limit is $250k for cases with lifetime COB and $500k for cases with limited COB. This change brings alignment and simplicity to this process. This change is applicable for all states we do business. For details on qualification for expedited underwriting, please review page 13 in </w:t>
                                          </w:r>
                                          <w:hyperlink r:id="rId6" w:tooltip="I-33758 Care Solutions Process Guide" w:history="1">
                                            <w:r w:rsidRPr="00F845AE">
                                              <w:rPr>
                                                <w:rFonts w:ascii="Times New Roman" w:eastAsia="Times New Roman" w:hAnsi="Times New Roman" w:cs="Times New Roman"/>
                                                <w:color w:val="6693BC"/>
                                                <w:kern w:val="0"/>
                                                <w:sz w:val="24"/>
                                                <w:szCs w:val="24"/>
                                                <w:u w:val="single"/>
                                                <w14:ligatures w14:val="none"/>
                                              </w:rPr>
                                              <w:t>I-33758 Care Solutions Process Guide</w:t>
                                            </w:r>
                                          </w:hyperlink>
                                          <w:r w:rsidRPr="00F845AE">
                                            <w:rPr>
                                              <w:rFonts w:ascii="Times New Roman" w:eastAsia="Times New Roman" w:hAnsi="Times New Roman" w:cs="Times New Roman"/>
                                              <w:color w:val="5B5C60"/>
                                              <w:kern w:val="0"/>
                                              <w:sz w:val="24"/>
                                              <w:szCs w:val="24"/>
                                              <w14:ligatures w14:val="none"/>
                                            </w:rPr>
                                            <w:t>.</w:t>
                                          </w:r>
                                        </w:p>
                                        <w:p w14:paraId="0DA5F5D9" w14:textId="77777777" w:rsidR="00F845AE" w:rsidRPr="00F845AE" w:rsidRDefault="00F845AE" w:rsidP="00F845AE">
                                          <w:pPr>
                                            <w:spacing w:after="0" w:line="360" w:lineRule="atLeast"/>
                                            <w:ind w:left="720"/>
                                            <w:rPr>
                                              <w:rFonts w:ascii="Times New Roman" w:eastAsia="Times New Roman" w:hAnsi="Times New Roman" w:cs="Times New Roman"/>
                                              <w:color w:val="5B5C60"/>
                                              <w:kern w:val="0"/>
                                              <w:sz w:val="24"/>
                                              <w:szCs w:val="24"/>
                                              <w14:ligatures w14:val="none"/>
                                            </w:rPr>
                                          </w:pPr>
                                          <w:r w:rsidRPr="00F845AE">
                                            <w:rPr>
                                              <w:rFonts w:ascii="Times New Roman" w:eastAsia="Times New Roman" w:hAnsi="Times New Roman" w:cs="Times New Roman"/>
                                              <w:color w:val="5B5C60"/>
                                              <w:kern w:val="0"/>
                                              <w:sz w:val="24"/>
                                              <w:szCs w:val="24"/>
                                              <w14:ligatures w14:val="none"/>
                                            </w:rPr>
                                            <w:br/>
                                          </w:r>
                                          <w:r w:rsidRPr="00F845AE">
                                            <w:rPr>
                                              <w:rFonts w:ascii="Arial" w:eastAsia="Times New Roman" w:hAnsi="Arial" w:cs="Arial"/>
                                              <w:kern w:val="0"/>
                                              <w:sz w:val="24"/>
                                              <w:szCs w:val="24"/>
                                              <w14:ligatures w14:val="none"/>
                                            </w:rPr>
                                            <w:t>OneAmerica is committed to continually improving the new business experience for you and your clients to apply for the protection they need. If you have any additional questions about the Care Solutions product portfolio, please contact your Care Solutions Regional Sales Director or Internal Sales partner at (844) 833-5520.</w:t>
                                          </w:r>
                                          <w:r w:rsidRPr="00F845AE">
                                            <w:rPr>
                                              <w:rFonts w:ascii="Arial" w:eastAsia="Times New Roman" w:hAnsi="Arial" w:cs="Arial"/>
                                              <w:kern w:val="0"/>
                                              <w:sz w:val="24"/>
                                              <w:szCs w:val="24"/>
                                              <w14:ligatures w14:val="none"/>
                                            </w:rPr>
                                            <w:br/>
                                          </w:r>
                                          <w:r w:rsidRPr="00F845AE">
                                            <w:rPr>
                                              <w:rFonts w:ascii="Arial" w:eastAsia="Times New Roman" w:hAnsi="Arial" w:cs="Arial"/>
                                              <w:kern w:val="0"/>
                                              <w:sz w:val="24"/>
                                              <w:szCs w:val="24"/>
                                              <w14:ligatures w14:val="none"/>
                                            </w:rPr>
                                            <w:br/>
                                          </w:r>
                                          <w:r w:rsidRPr="00F845AE">
                                            <w:rPr>
                                              <w:rFonts w:ascii="Arial" w:eastAsia="Times New Roman" w:hAnsi="Arial" w:cs="Arial"/>
                                              <w:kern w:val="0"/>
                                              <w:sz w:val="18"/>
                                              <w:szCs w:val="18"/>
                                              <w:vertAlign w:val="superscript"/>
                                              <w14:ligatures w14:val="none"/>
                                            </w:rPr>
                                            <w:t>1</w:t>
                                          </w:r>
                                          <w:r w:rsidRPr="00F845AE">
                                            <w:rPr>
                                              <w:rFonts w:ascii="Arial" w:eastAsia="Times New Roman" w:hAnsi="Arial" w:cs="Arial"/>
                                              <w:kern w:val="0"/>
                                              <w:sz w:val="24"/>
                                              <w:szCs w:val="24"/>
                                              <w14:ligatures w14:val="none"/>
                                            </w:rPr>
                                            <w:t xml:space="preserve">Underwriters may require applicants to move through full underwriting if there are no </w:t>
                                          </w:r>
                                          <w:proofErr w:type="spellStart"/>
                                          <w:r w:rsidRPr="00F845AE">
                                            <w:rPr>
                                              <w:rFonts w:ascii="Arial" w:eastAsia="Times New Roman" w:hAnsi="Arial" w:cs="Arial"/>
                                              <w:kern w:val="0"/>
                                              <w:sz w:val="24"/>
                                              <w:szCs w:val="24"/>
                                              <w14:ligatures w14:val="none"/>
                                            </w:rPr>
                                            <w:t>LabPiqture</w:t>
                                          </w:r>
                                          <w:proofErr w:type="spellEnd"/>
                                          <w:r w:rsidRPr="00F845AE">
                                            <w:rPr>
                                              <w:rFonts w:ascii="Arial" w:eastAsia="Times New Roman" w:hAnsi="Arial" w:cs="Arial"/>
                                              <w:kern w:val="0"/>
                                              <w:sz w:val="24"/>
                                              <w:szCs w:val="24"/>
                                              <w14:ligatures w14:val="none"/>
                                            </w:rPr>
                                            <w:t xml:space="preserve"> hits.</w:t>
                                          </w:r>
                                        </w:p>
                                      </w:tc>
                                    </w:tr>
                                  </w:tbl>
                                  <w:p w14:paraId="3A99AB23" w14:textId="77777777" w:rsidR="00F845AE" w:rsidRPr="00F845AE" w:rsidRDefault="00F845AE" w:rsidP="00F845AE">
                                    <w:pPr>
                                      <w:spacing w:after="0" w:line="240" w:lineRule="auto"/>
                                      <w:rPr>
                                        <w:rFonts w:ascii="Times New Roman" w:eastAsia="Times New Roman" w:hAnsi="Times New Roman" w:cs="Times New Roman"/>
                                        <w:color w:val="5B5C60"/>
                                        <w:kern w:val="0"/>
                                        <w:sz w:val="24"/>
                                        <w:szCs w:val="24"/>
                                        <w14:ligatures w14:val="none"/>
                                      </w:rPr>
                                    </w:pPr>
                                  </w:p>
                                </w:tc>
                              </w:tr>
                            </w:tbl>
                            <w:p w14:paraId="2A423EBC" w14:textId="77777777" w:rsidR="00F845AE" w:rsidRPr="00F845AE" w:rsidRDefault="00F845AE" w:rsidP="00F845AE">
                              <w:pPr>
                                <w:spacing w:after="0" w:line="240" w:lineRule="auto"/>
                                <w:rPr>
                                  <w:rFonts w:ascii="Times New Roman" w:eastAsia="Times New Roman" w:hAnsi="Times New Roman" w:cs="Times New Roman"/>
                                  <w:color w:val="5B5C60"/>
                                  <w:kern w:val="0"/>
                                  <w:sz w:val="24"/>
                                  <w:szCs w:val="24"/>
                                  <w14:ligatures w14:val="none"/>
                                </w:rPr>
                              </w:pPr>
                            </w:p>
                          </w:tc>
                        </w:tr>
                        <w:tr w:rsidR="00F845AE" w:rsidRPr="00F845AE" w14:paraId="3D79CACC" w14:textId="77777777" w:rsidTr="00F845AE">
                          <w:tc>
                            <w:tcPr>
                              <w:tcW w:w="5000" w:type="pc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12226"/>
                              </w:tblGrid>
                              <w:tr w:rsidR="00F845AE" w:rsidRPr="00F845AE" w14:paraId="79C4C7C9" w14:textId="77777777">
                                <w:tc>
                                  <w:tcPr>
                                    <w:tcW w:w="0" w:type="auto"/>
                                    <w:tcBorders>
                                      <w:top w:val="single" w:sz="2" w:space="0" w:color="auto"/>
                                      <w:left w:val="single" w:sz="2" w:space="0" w:color="auto"/>
                                      <w:bottom w:val="single" w:sz="2" w:space="0" w:color="auto"/>
                                      <w:right w:val="single" w:sz="2" w:space="0" w:color="auto"/>
                                    </w:tcBorders>
                                    <w:tcMar>
                                      <w:top w:w="300" w:type="dxa"/>
                                      <w:left w:w="0" w:type="dxa"/>
                                      <w:bottom w:w="0" w:type="dxa"/>
                                      <w:right w:w="0" w:type="dxa"/>
                                    </w:tcMar>
                                    <w:vAlign w:val="center"/>
                                    <w:hideMark/>
                                  </w:tcPr>
                                  <w:tbl>
                                    <w:tblPr>
                                      <w:tblW w:w="5000" w:type="pct"/>
                                      <w:shd w:val="clear" w:color="auto" w:fill="6693BC"/>
                                      <w:tblCellMar>
                                        <w:top w:w="15" w:type="dxa"/>
                                        <w:left w:w="15" w:type="dxa"/>
                                        <w:bottom w:w="15" w:type="dxa"/>
                                        <w:right w:w="15" w:type="dxa"/>
                                      </w:tblCellMar>
                                      <w:tblLook w:val="04A0" w:firstRow="1" w:lastRow="0" w:firstColumn="1" w:lastColumn="0" w:noHBand="0" w:noVBand="1"/>
                                    </w:tblPr>
                                    <w:tblGrid>
                                      <w:gridCol w:w="12215"/>
                                    </w:tblGrid>
                                    <w:tr w:rsidR="00F845AE" w:rsidRPr="00F845AE" w14:paraId="14023565" w14:textId="77777777">
                                      <w:tc>
                                        <w:tcPr>
                                          <w:tcW w:w="0" w:type="auto"/>
                                          <w:tcBorders>
                                            <w:top w:val="single" w:sz="2" w:space="0" w:color="auto"/>
                                            <w:left w:val="single" w:sz="2" w:space="0" w:color="auto"/>
                                            <w:bottom w:val="single" w:sz="2" w:space="0" w:color="auto"/>
                                            <w:right w:val="single" w:sz="2" w:space="0" w:color="auto"/>
                                          </w:tcBorders>
                                          <w:shd w:val="clear" w:color="auto" w:fill="6693BC"/>
                                          <w:tcMar>
                                            <w:top w:w="150" w:type="dxa"/>
                                            <w:left w:w="150" w:type="dxa"/>
                                            <w:bottom w:w="150" w:type="dxa"/>
                                            <w:right w:w="150" w:type="dxa"/>
                                          </w:tcMar>
                                          <w:vAlign w:val="center"/>
                                          <w:hideMark/>
                                        </w:tcPr>
                                        <w:tbl>
                                          <w:tblPr>
                                            <w:tblW w:w="11400" w:type="dxa"/>
                                            <w:tblCellMar>
                                              <w:top w:w="15" w:type="dxa"/>
                                              <w:left w:w="15" w:type="dxa"/>
                                              <w:bottom w:w="15" w:type="dxa"/>
                                              <w:right w:w="15" w:type="dxa"/>
                                            </w:tblCellMar>
                                            <w:tblLook w:val="04A0" w:firstRow="1" w:lastRow="0" w:firstColumn="1" w:lastColumn="0" w:noHBand="0" w:noVBand="1"/>
                                          </w:tblPr>
                                          <w:tblGrid>
                                            <w:gridCol w:w="11411"/>
                                          </w:tblGrid>
                                          <w:tr w:rsidR="00F845AE" w:rsidRPr="00F845AE" w14:paraId="0C472358" w14:textId="77777777">
                                            <w:tc>
                                              <w:tcPr>
                                                <w:tcW w:w="0" w:type="auto"/>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hideMark/>
                                              </w:tcPr>
                                              <w:tbl>
                                                <w:tblPr>
                                                  <w:tblW w:w="11400" w:type="dxa"/>
                                                  <w:tblCellMar>
                                                    <w:top w:w="15" w:type="dxa"/>
                                                    <w:left w:w="15" w:type="dxa"/>
                                                    <w:bottom w:w="15" w:type="dxa"/>
                                                    <w:right w:w="15" w:type="dxa"/>
                                                  </w:tblCellMar>
                                                  <w:tblLook w:val="04A0" w:firstRow="1" w:lastRow="0" w:firstColumn="1" w:lastColumn="0" w:noHBand="0" w:noVBand="1"/>
                                                </w:tblPr>
                                                <w:tblGrid>
                                                  <w:gridCol w:w="7980"/>
                                                  <w:gridCol w:w="3420"/>
                                                </w:tblGrid>
                                                <w:tr w:rsidR="00F845AE" w:rsidRPr="00F845AE" w14:paraId="378FFC4F" w14:textId="77777777">
                                                  <w:tc>
                                                    <w:tcPr>
                                                      <w:tcW w:w="7980" w:type="dxa"/>
                                                      <w:tcBorders>
                                                        <w:top w:val="single" w:sz="2" w:space="0" w:color="auto"/>
                                                        <w:left w:val="single" w:sz="2" w:space="0" w:color="auto"/>
                                                        <w:bottom w:val="single" w:sz="2" w:space="0" w:color="auto"/>
                                                        <w:right w:val="single" w:sz="2" w:space="0" w:color="auto"/>
                                                      </w:tcBorders>
                                                      <w:tcMar>
                                                        <w:top w:w="0" w:type="dxa"/>
                                                        <w:left w:w="0" w:type="dxa"/>
                                                        <w:bottom w:w="0" w:type="dxa"/>
                                                        <w:right w:w="22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7749"/>
                                                      </w:tblGrid>
                                                      <w:tr w:rsidR="00F845AE" w:rsidRPr="00F845AE" w14:paraId="7EA5B494" w14:textId="77777777">
                                                        <w:tc>
                                                          <w:tcPr>
                                                            <w:tcW w:w="0" w:type="auto"/>
                                                            <w:tcBorders>
                                                              <w:top w:val="single" w:sz="2" w:space="0" w:color="auto"/>
                                                              <w:left w:val="single" w:sz="2" w:space="0" w:color="auto"/>
                                                              <w:bottom w:val="single" w:sz="2" w:space="0" w:color="auto"/>
                                                              <w:right w:val="single" w:sz="2" w:space="0" w:color="auto"/>
                                                            </w:tcBorders>
                                                            <w:tcMar>
                                                              <w:top w:w="0" w:type="dxa"/>
                                                              <w:left w:w="150" w:type="dxa"/>
                                                              <w:bottom w:w="225"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443"/>
                                                            </w:tblGrid>
                                                            <w:tr w:rsidR="00F845AE" w:rsidRPr="00F845AE" w14:paraId="32ADCF1B" w14:textId="77777777">
                                                              <w:tc>
                                                                <w:tcPr>
                                                                  <w:tcW w:w="0" w:type="auto"/>
                                                                  <w:tcBorders>
                                                                    <w:top w:val="single" w:sz="2" w:space="0" w:color="auto"/>
                                                                    <w:left w:val="single" w:sz="2" w:space="0" w:color="auto"/>
                                                                    <w:bottom w:val="single" w:sz="2" w:space="0" w:color="auto"/>
                                                                    <w:right w:val="single" w:sz="2" w:space="0" w:color="auto"/>
                                                                  </w:tcBorders>
                                                                  <w:tcMar>
                                                                    <w:top w:w="150" w:type="dxa"/>
                                                                    <w:left w:w="0" w:type="dxa"/>
                                                                    <w:bottom w:w="0" w:type="dxa"/>
                                                                    <w:right w:w="0" w:type="dxa"/>
                                                                  </w:tcMar>
                                                                  <w:vAlign w:val="center"/>
                                                                  <w:hideMark/>
                                                                </w:tcPr>
                                                                <w:p w14:paraId="62F6D748" w14:textId="77777777" w:rsidR="00F845AE" w:rsidRPr="00F845AE" w:rsidRDefault="00F845AE" w:rsidP="00F845AE">
                                                                  <w:pPr>
                                                                    <w:spacing w:after="0" w:line="240" w:lineRule="auto"/>
                                                                    <w:rPr>
                                                                      <w:rFonts w:ascii="Times New Roman" w:eastAsia="Times New Roman" w:hAnsi="Times New Roman" w:cs="Times New Roman"/>
                                                                      <w:color w:val="5B5C60"/>
                                                                      <w:kern w:val="0"/>
                                                                      <w:sz w:val="24"/>
                                                                      <w:szCs w:val="24"/>
                                                                      <w14:ligatures w14:val="none"/>
                                                                    </w:rPr>
                                                                  </w:pPr>
                                                                  <w:r w:rsidRPr="00F845AE">
                                                                    <w:rPr>
                                                                      <w:rFonts w:ascii="Times New Roman" w:eastAsia="Times New Roman" w:hAnsi="Times New Roman" w:cs="Times New Roman"/>
                                                                      <w:color w:val="FFFFFF"/>
                                                                      <w:kern w:val="0"/>
                                                                      <w:sz w:val="15"/>
                                                                      <w:szCs w:val="15"/>
                                                                      <w14:ligatures w14:val="none"/>
                                                                    </w:rPr>
                                                                    <w:t>For use with financial professionals only. Not for public distribution. OneAmerica</w:t>
                                                                  </w:r>
                                                                  <w:r w:rsidRPr="00F845AE">
                                                                    <w:rPr>
                                                                      <w:rFonts w:ascii="Times New Roman" w:eastAsia="Times New Roman" w:hAnsi="Times New Roman" w:cs="Times New Roman"/>
                                                                      <w:color w:val="FFFFFF"/>
                                                                      <w:kern w:val="0"/>
                                                                      <w:sz w:val="11"/>
                                                                      <w:szCs w:val="11"/>
                                                                      <w:vertAlign w:val="superscript"/>
                                                                      <w14:ligatures w14:val="none"/>
                                                                    </w:rPr>
                                                                    <w:t>® </w:t>
                                                                  </w:r>
                                                                  <w:r w:rsidRPr="00F845AE">
                                                                    <w:rPr>
                                                                      <w:rFonts w:ascii="Times New Roman" w:eastAsia="Times New Roman" w:hAnsi="Times New Roman" w:cs="Times New Roman"/>
                                                                      <w:color w:val="FFFFFF"/>
                                                                      <w:kern w:val="0"/>
                                                                      <w:sz w:val="15"/>
                                                                      <w:szCs w:val="15"/>
                                                                      <w14:ligatures w14:val="none"/>
                                                                    </w:rPr>
                                                                    <w:t>is the marketing name for the companies of OneAmerica. Products issued and underwritten by The State Life Insurance Company</w:t>
                                                                  </w:r>
                                                                  <w:r w:rsidRPr="00F845AE">
                                                                    <w:rPr>
                                                                      <w:rFonts w:ascii="Times New Roman" w:eastAsia="Times New Roman" w:hAnsi="Times New Roman" w:cs="Times New Roman"/>
                                                                      <w:color w:val="FFFFFF"/>
                                                                      <w:kern w:val="0"/>
                                                                      <w:sz w:val="11"/>
                                                                      <w:szCs w:val="11"/>
                                                                      <w:vertAlign w:val="superscript"/>
                                                                      <w14:ligatures w14:val="none"/>
                                                                    </w:rPr>
                                                                    <w:t>®</w:t>
                                                                  </w:r>
                                                                  <w:r w:rsidRPr="00F845AE">
                                                                    <w:rPr>
                                                                      <w:rFonts w:ascii="Times New Roman" w:eastAsia="Times New Roman" w:hAnsi="Times New Roman" w:cs="Times New Roman"/>
                                                                      <w:color w:val="FFFFFF"/>
                                                                      <w:kern w:val="0"/>
                                                                      <w:sz w:val="15"/>
                                                                      <w:szCs w:val="15"/>
                                                                      <w14:ligatures w14:val="none"/>
                                                                    </w:rPr>
                                                                    <w:t> (State Life), Indianapolis, IN, a OneAmerica company that offers the Care Solutions product suite. Asset Care form number series: ICC18 L302, ICC18 L302 SP, ICC18 L302 JT, ICC18 L302 SP JT, ICC18 R537, ICC18 R538, ICC18 SA39, ICC18 R540, L302, L302 JT, L302 SP, L302 SP JT, R537, R538 SA39 and R540. Not available in all states or may vary by state.</w:t>
                                                                  </w:r>
                                                                </w:p>
                                                              </w:tc>
                                                            </w:tr>
                                                          </w:tbl>
                                                          <w:p w14:paraId="50EF1281" w14:textId="77777777" w:rsidR="00F845AE" w:rsidRPr="00F845AE" w:rsidRDefault="00F845AE" w:rsidP="00F845AE">
                                                            <w:pPr>
                                                              <w:spacing w:after="0" w:line="240" w:lineRule="auto"/>
                                                              <w:rPr>
                                                                <w:rFonts w:ascii="Times New Roman" w:eastAsia="Times New Roman" w:hAnsi="Times New Roman" w:cs="Times New Roman"/>
                                                                <w:color w:val="5B5C60"/>
                                                                <w:kern w:val="0"/>
                                                                <w:sz w:val="24"/>
                                                                <w:szCs w:val="24"/>
                                                                <w14:ligatures w14:val="none"/>
                                                              </w:rPr>
                                                            </w:pPr>
                                                          </w:p>
                                                        </w:tc>
                                                      </w:tr>
                                                    </w:tbl>
                                                    <w:p w14:paraId="360D8A2D" w14:textId="77777777" w:rsidR="00F845AE" w:rsidRPr="00F845AE" w:rsidRDefault="00F845AE" w:rsidP="00F845AE">
                                                      <w:pPr>
                                                        <w:spacing w:after="0" w:line="240" w:lineRule="auto"/>
                                                        <w:rPr>
                                                          <w:rFonts w:ascii="Times New Roman" w:eastAsia="Times New Roman" w:hAnsi="Times New Roman" w:cs="Times New Roman"/>
                                                          <w:color w:val="5B5C60"/>
                                                          <w:kern w:val="0"/>
                                                          <w:sz w:val="24"/>
                                                          <w:szCs w:val="24"/>
                                                          <w14:ligatures w14:val="none"/>
                                                        </w:rPr>
                                                      </w:pPr>
                                                    </w:p>
                                                  </w:tc>
                                                  <w:tc>
                                                    <w:tcPr>
                                                      <w:tcW w:w="3420" w:type="dxa"/>
                                                      <w:tcBorders>
                                                        <w:top w:val="single" w:sz="2" w:space="0" w:color="auto"/>
                                                        <w:left w:val="single" w:sz="2" w:space="0" w:color="auto"/>
                                                        <w:bottom w:val="single" w:sz="2" w:space="0" w:color="auto"/>
                                                        <w:right w:val="single" w:sz="2" w:space="0" w:color="auto"/>
                                                      </w:tcBorders>
                                                      <w:tcMar>
                                                        <w:top w:w="0" w:type="dxa"/>
                                                        <w:left w:w="225" w:type="dxa"/>
                                                        <w:bottom w:w="0" w:type="dxa"/>
                                                        <w:right w:w="0" w:type="dxa"/>
                                                      </w:tcMar>
                                                      <w:hideMark/>
                                                    </w:tcPr>
                                                    <w:tbl>
                                                      <w:tblPr>
                                                        <w:tblW w:w="5000" w:type="pct"/>
                                                        <w:shd w:val="clear" w:color="auto" w:fill="6693BC"/>
                                                        <w:tblCellMar>
                                                          <w:top w:w="15" w:type="dxa"/>
                                                          <w:left w:w="15" w:type="dxa"/>
                                                          <w:bottom w:w="15" w:type="dxa"/>
                                                          <w:right w:w="15" w:type="dxa"/>
                                                        </w:tblCellMar>
                                                        <w:tblLook w:val="04A0" w:firstRow="1" w:lastRow="0" w:firstColumn="1" w:lastColumn="0" w:noHBand="0" w:noVBand="1"/>
                                                      </w:tblPr>
                                                      <w:tblGrid>
                                                        <w:gridCol w:w="3189"/>
                                                      </w:tblGrid>
                                                      <w:tr w:rsidR="00F845AE" w:rsidRPr="00F845AE" w14:paraId="041813FF" w14:textId="77777777">
                                                        <w:tc>
                                                          <w:tcPr>
                                                            <w:tcW w:w="0" w:type="auto"/>
                                                            <w:tcBorders>
                                                              <w:top w:val="single" w:sz="2" w:space="0" w:color="auto"/>
                                                              <w:left w:val="single" w:sz="2" w:space="0" w:color="auto"/>
                                                              <w:bottom w:val="single" w:sz="2" w:space="0" w:color="auto"/>
                                                              <w:right w:val="single" w:sz="2" w:space="0" w:color="auto"/>
                                                            </w:tcBorders>
                                                            <w:shd w:val="clear" w:color="auto" w:fill="6693BC"/>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178"/>
                                                            </w:tblGrid>
                                                            <w:tr w:rsidR="00F845AE" w:rsidRPr="00F845AE" w14:paraId="3EB01BD6" w14:textId="77777777">
                                                              <w:tc>
                                                                <w:tcPr>
                                                                  <w:tcW w:w="0" w:type="auto"/>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hideMark/>
                                                                </w:tcPr>
                                                                <w:p w14:paraId="407AB64A" w14:textId="77777777" w:rsidR="00F845AE" w:rsidRPr="00F845AE" w:rsidRDefault="00F845AE" w:rsidP="00F845AE">
                                                                  <w:pPr>
                                                                    <w:spacing w:after="0" w:line="240" w:lineRule="auto"/>
                                                                    <w:jc w:val="center"/>
                                                                    <w:rPr>
                                                                      <w:rFonts w:ascii="Times New Roman" w:eastAsia="Times New Roman" w:hAnsi="Times New Roman" w:cs="Times New Roman"/>
                                                                      <w:color w:val="5B5C60"/>
                                                                      <w:kern w:val="0"/>
                                                                      <w:sz w:val="24"/>
                                                                      <w:szCs w:val="24"/>
                                                                      <w14:ligatures w14:val="none"/>
                                                                    </w:rPr>
                                                                  </w:pPr>
                                                                  <w:r w:rsidRPr="00F845AE">
                                                                    <w:rPr>
                                                                      <w:rFonts w:ascii="Times New Roman" w:eastAsia="Times New Roman" w:hAnsi="Times New Roman" w:cs="Times New Roman"/>
                                                                      <w:noProof/>
                                                                      <w:color w:val="5B5C60"/>
                                                                      <w:kern w:val="0"/>
                                                                      <w:sz w:val="24"/>
                                                                      <w:szCs w:val="24"/>
                                                                      <w14:ligatures w14:val="none"/>
                                                                    </w:rPr>
                                                                    <w:drawing>
                                                                      <wp:inline distT="0" distB="0" distL="0" distR="0" wp14:anchorId="6F9053F0" wp14:editId="6F58AF0E">
                                                                        <wp:extent cx="1064260" cy="907576"/>
                                                                        <wp:effectExtent l="0" t="0" r="2540" b="6985"/>
                                                                        <wp:docPr id="4" name="Picture 3" descr="OneAme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eAmeric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262" cy="916106"/>
                                                                                </a:xfrm>
                                                                                <a:prstGeom prst="rect">
                                                                                  <a:avLst/>
                                                                                </a:prstGeom>
                                                                                <a:noFill/>
                                                                                <a:ln>
                                                                                  <a:noFill/>
                                                                                </a:ln>
                                                                              </pic:spPr>
                                                                            </pic:pic>
                                                                          </a:graphicData>
                                                                        </a:graphic>
                                                                      </wp:inline>
                                                                    </w:drawing>
                                                                  </w:r>
                                                                </w:p>
                                                              </w:tc>
                                                            </w:tr>
                                                          </w:tbl>
                                                          <w:p w14:paraId="0528AA40" w14:textId="77777777" w:rsidR="00F845AE" w:rsidRPr="00F845AE" w:rsidRDefault="00F845AE" w:rsidP="00F845AE">
                                                            <w:pPr>
                                                              <w:spacing w:after="0" w:line="240" w:lineRule="auto"/>
                                                              <w:rPr>
                                                                <w:rFonts w:ascii="Times New Roman" w:eastAsia="Times New Roman" w:hAnsi="Times New Roman" w:cs="Times New Roman"/>
                                                                <w:color w:val="5B5C60"/>
                                                                <w:kern w:val="0"/>
                                                                <w:sz w:val="24"/>
                                                                <w:szCs w:val="24"/>
                                                                <w14:ligatures w14:val="none"/>
                                                              </w:rPr>
                                                            </w:pPr>
                                                          </w:p>
                                                        </w:tc>
                                                      </w:tr>
                                                    </w:tbl>
                                                    <w:p w14:paraId="2AC3E0B3" w14:textId="77777777" w:rsidR="00F845AE" w:rsidRPr="00F845AE" w:rsidRDefault="00F845AE" w:rsidP="00F845AE">
                                                      <w:pPr>
                                                        <w:spacing w:after="0" w:line="240" w:lineRule="auto"/>
                                                        <w:rPr>
                                                          <w:rFonts w:ascii="Times New Roman" w:eastAsia="Times New Roman" w:hAnsi="Times New Roman" w:cs="Times New Roman"/>
                                                          <w:color w:val="5B5C60"/>
                                                          <w:kern w:val="0"/>
                                                          <w:sz w:val="24"/>
                                                          <w:szCs w:val="24"/>
                                                          <w14:ligatures w14:val="none"/>
                                                        </w:rPr>
                                                      </w:pPr>
                                                    </w:p>
                                                  </w:tc>
                                                </w:tr>
                                              </w:tbl>
                                              <w:p w14:paraId="29CF2EE7" w14:textId="77777777" w:rsidR="00F845AE" w:rsidRPr="00F845AE" w:rsidRDefault="00F845AE" w:rsidP="00F845AE">
                                                <w:pPr>
                                                  <w:spacing w:after="0" w:line="240" w:lineRule="auto"/>
                                                  <w:rPr>
                                                    <w:rFonts w:ascii="Times New Roman" w:eastAsia="Times New Roman" w:hAnsi="Times New Roman" w:cs="Times New Roman"/>
                                                    <w:color w:val="5B5C60"/>
                                                    <w:kern w:val="0"/>
                                                    <w:sz w:val="24"/>
                                                    <w:szCs w:val="24"/>
                                                    <w14:ligatures w14:val="none"/>
                                                  </w:rPr>
                                                </w:pPr>
                                              </w:p>
                                            </w:tc>
                                          </w:tr>
                                        </w:tbl>
                                        <w:p w14:paraId="2023AF21" w14:textId="77777777" w:rsidR="00F845AE" w:rsidRPr="00F845AE" w:rsidRDefault="00F845AE" w:rsidP="00F845AE">
                                          <w:pPr>
                                            <w:spacing w:after="0" w:line="240" w:lineRule="auto"/>
                                            <w:rPr>
                                              <w:rFonts w:ascii="Times New Roman" w:eastAsia="Times New Roman" w:hAnsi="Times New Roman" w:cs="Times New Roman"/>
                                              <w:color w:val="5B5C60"/>
                                              <w:kern w:val="0"/>
                                              <w:sz w:val="24"/>
                                              <w:szCs w:val="24"/>
                                              <w14:ligatures w14:val="none"/>
                                            </w:rPr>
                                          </w:pPr>
                                        </w:p>
                                      </w:tc>
                                    </w:tr>
                                  </w:tbl>
                                  <w:p w14:paraId="33C72435" w14:textId="77777777" w:rsidR="00F845AE" w:rsidRPr="00F845AE" w:rsidRDefault="00F845AE" w:rsidP="00F845AE">
                                    <w:pPr>
                                      <w:spacing w:after="0" w:line="240" w:lineRule="auto"/>
                                      <w:rPr>
                                        <w:rFonts w:ascii="Times New Roman" w:eastAsia="Times New Roman" w:hAnsi="Times New Roman" w:cs="Times New Roman"/>
                                        <w:color w:val="5B5C60"/>
                                        <w:kern w:val="0"/>
                                        <w:sz w:val="24"/>
                                        <w:szCs w:val="24"/>
                                        <w14:ligatures w14:val="none"/>
                                      </w:rPr>
                                    </w:pPr>
                                  </w:p>
                                </w:tc>
                              </w:tr>
                            </w:tbl>
                            <w:p w14:paraId="0D31759D" w14:textId="77777777" w:rsidR="00F845AE" w:rsidRPr="00F845AE" w:rsidRDefault="00F845AE" w:rsidP="00F845AE">
                              <w:pPr>
                                <w:spacing w:after="0" w:line="240" w:lineRule="auto"/>
                                <w:rPr>
                                  <w:rFonts w:ascii="Times New Roman" w:eastAsia="Times New Roman" w:hAnsi="Times New Roman" w:cs="Times New Roman"/>
                                  <w:color w:val="5B5C60"/>
                                  <w:kern w:val="0"/>
                                  <w:sz w:val="24"/>
                                  <w:szCs w:val="24"/>
                                  <w14:ligatures w14:val="none"/>
                                </w:rPr>
                              </w:pPr>
                            </w:p>
                          </w:tc>
                        </w:tr>
                      </w:tbl>
                      <w:p w14:paraId="0465C7E2" w14:textId="77777777" w:rsidR="00F845AE" w:rsidRPr="00F845AE" w:rsidRDefault="00F845AE" w:rsidP="00F845AE">
                        <w:pPr>
                          <w:spacing w:after="0" w:line="240" w:lineRule="auto"/>
                          <w:jc w:val="center"/>
                          <w:rPr>
                            <w:rFonts w:ascii="Arial" w:eastAsia="Times New Roman" w:hAnsi="Arial" w:cs="Arial"/>
                            <w:color w:val="5B5C60"/>
                            <w:kern w:val="0"/>
                            <w:sz w:val="24"/>
                            <w:szCs w:val="24"/>
                            <w14:ligatures w14:val="none"/>
                          </w:rPr>
                        </w:pPr>
                      </w:p>
                    </w:tc>
                  </w:tr>
                </w:tbl>
                <w:p w14:paraId="75D52685" w14:textId="77777777" w:rsidR="00F845AE" w:rsidRPr="00F845AE" w:rsidRDefault="00F845AE" w:rsidP="00F845AE">
                  <w:pPr>
                    <w:spacing w:after="0" w:line="240" w:lineRule="auto"/>
                    <w:rPr>
                      <w:rFonts w:ascii="Times New Roman" w:eastAsia="Times New Roman" w:hAnsi="Times New Roman" w:cs="Times New Roman"/>
                      <w:color w:val="5B5C60"/>
                      <w:kern w:val="0"/>
                      <w:sz w:val="24"/>
                      <w:szCs w:val="24"/>
                      <w14:ligatures w14:val="none"/>
                    </w:rPr>
                  </w:pPr>
                </w:p>
              </w:tc>
            </w:tr>
          </w:tbl>
          <w:p w14:paraId="144A1246" w14:textId="77777777" w:rsidR="00F845AE" w:rsidRPr="00F845AE" w:rsidRDefault="00F845AE" w:rsidP="00F845AE">
            <w:pPr>
              <w:spacing w:after="0" w:line="240" w:lineRule="auto"/>
              <w:jc w:val="center"/>
              <w:rPr>
                <w:rFonts w:ascii="Times New Roman" w:eastAsia="Times New Roman" w:hAnsi="Times New Roman" w:cs="Times New Roman"/>
                <w:color w:val="5B5C60"/>
                <w:kern w:val="0"/>
                <w:sz w:val="24"/>
                <w:szCs w:val="24"/>
                <w14:ligatures w14:val="none"/>
              </w:rPr>
            </w:pPr>
          </w:p>
        </w:tc>
      </w:tr>
    </w:tbl>
    <w:p w14:paraId="188622E2" w14:textId="77777777" w:rsidR="004C07F7" w:rsidRDefault="004C07F7"/>
    <w:sectPr w:rsidR="004C07F7" w:rsidSect="00F84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73FF"/>
    <w:multiLevelType w:val="multilevel"/>
    <w:tmpl w:val="AE9E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84211"/>
    <w:multiLevelType w:val="multilevel"/>
    <w:tmpl w:val="7C84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4987634">
    <w:abstractNumId w:val="1"/>
  </w:num>
  <w:num w:numId="2" w16cid:durableId="552891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AE"/>
    <w:rsid w:val="00223572"/>
    <w:rsid w:val="004C07F7"/>
    <w:rsid w:val="005E531B"/>
    <w:rsid w:val="00F8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618B"/>
  <w15:chartTrackingRefBased/>
  <w15:docId w15:val="{7BE51938-A2C9-48FF-877B-D3ECCB38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279451">
      <w:bodyDiv w:val="1"/>
      <w:marLeft w:val="0"/>
      <w:marRight w:val="0"/>
      <w:marTop w:val="0"/>
      <w:marBottom w:val="0"/>
      <w:divBdr>
        <w:top w:val="none" w:sz="0" w:space="0" w:color="auto"/>
        <w:left w:val="none" w:sz="0" w:space="0" w:color="auto"/>
        <w:bottom w:val="none" w:sz="0" w:space="0" w:color="auto"/>
        <w:right w:val="none" w:sz="0" w:space="0" w:color="auto"/>
      </w:divBdr>
      <w:divsChild>
        <w:div w:id="1904947380">
          <w:marLeft w:val="0"/>
          <w:marRight w:val="0"/>
          <w:marTop w:val="0"/>
          <w:marBottom w:val="450"/>
          <w:divBdr>
            <w:top w:val="none" w:sz="0" w:space="0" w:color="auto"/>
            <w:left w:val="none" w:sz="0" w:space="0" w:color="auto"/>
            <w:bottom w:val="none" w:sz="0" w:space="0" w:color="auto"/>
            <w:right w:val="none" w:sz="0" w:space="0" w:color="auto"/>
          </w:divBdr>
          <w:divsChild>
            <w:div w:id="1344819265">
              <w:marLeft w:val="0"/>
              <w:marRight w:val="0"/>
              <w:marTop w:val="0"/>
              <w:marBottom w:val="0"/>
              <w:divBdr>
                <w:top w:val="none" w:sz="0" w:space="0" w:color="auto"/>
                <w:left w:val="none" w:sz="0" w:space="0" w:color="auto"/>
                <w:bottom w:val="none" w:sz="0" w:space="0" w:color="auto"/>
                <w:right w:val="none" w:sz="0" w:space="0" w:color="auto"/>
              </w:divBdr>
              <w:divsChild>
                <w:div w:id="499270693">
                  <w:marLeft w:val="0"/>
                  <w:marRight w:val="0"/>
                  <w:marTop w:val="0"/>
                  <w:marBottom w:val="0"/>
                  <w:divBdr>
                    <w:top w:val="none" w:sz="0" w:space="0" w:color="auto"/>
                    <w:left w:val="none" w:sz="0" w:space="0" w:color="auto"/>
                    <w:bottom w:val="none" w:sz="0" w:space="0" w:color="auto"/>
                    <w:right w:val="none" w:sz="0" w:space="0" w:color="auto"/>
                  </w:divBdr>
                  <w:divsChild>
                    <w:div w:id="4722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65839">
          <w:marLeft w:val="0"/>
          <w:marRight w:val="0"/>
          <w:marTop w:val="0"/>
          <w:marBottom w:val="0"/>
          <w:divBdr>
            <w:top w:val="none" w:sz="0" w:space="0" w:color="auto"/>
            <w:left w:val="none" w:sz="0" w:space="0" w:color="auto"/>
            <w:bottom w:val="none" w:sz="0" w:space="0" w:color="auto"/>
            <w:right w:val="none" w:sz="0" w:space="0" w:color="auto"/>
          </w:divBdr>
          <w:divsChild>
            <w:div w:id="2107265196">
              <w:marLeft w:val="0"/>
              <w:marRight w:val="0"/>
              <w:marTop w:val="0"/>
              <w:marBottom w:val="0"/>
              <w:divBdr>
                <w:top w:val="none" w:sz="0" w:space="0" w:color="auto"/>
                <w:left w:val="none" w:sz="0" w:space="0" w:color="auto"/>
                <w:bottom w:val="none" w:sz="0" w:space="0" w:color="auto"/>
                <w:right w:val="none" w:sz="0" w:space="0" w:color="auto"/>
              </w:divBdr>
              <w:divsChild>
                <w:div w:id="596525844">
                  <w:marLeft w:val="300"/>
                  <w:marRight w:val="300"/>
                  <w:marTop w:val="0"/>
                  <w:marBottom w:val="0"/>
                  <w:divBdr>
                    <w:top w:val="none" w:sz="0" w:space="0" w:color="auto"/>
                    <w:left w:val="none" w:sz="0" w:space="0" w:color="auto"/>
                    <w:bottom w:val="none" w:sz="0" w:space="0" w:color="auto"/>
                    <w:right w:val="none" w:sz="0" w:space="0" w:color="auto"/>
                  </w:divBdr>
                </w:div>
                <w:div w:id="1863476196">
                  <w:marLeft w:val="300"/>
                  <w:marRight w:val="300"/>
                  <w:marTop w:val="0"/>
                  <w:marBottom w:val="0"/>
                  <w:divBdr>
                    <w:top w:val="none" w:sz="0" w:space="0" w:color="auto"/>
                    <w:left w:val="none" w:sz="0" w:space="0" w:color="auto"/>
                    <w:bottom w:val="none" w:sz="0" w:space="0" w:color="auto"/>
                    <w:right w:val="none" w:sz="0" w:space="0" w:color="auto"/>
                  </w:divBdr>
                </w:div>
                <w:div w:id="120301137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ck.aulind.oneamericaemailservices.com/?qs=62f01d2c6f01bdad61480e0e0b4944317670376f84b055a66b6b99e2d47a684df38e19377e58a207cc6601539517128fae76b3509396245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Neal</dc:creator>
  <cp:keywords/>
  <dc:description/>
  <cp:lastModifiedBy>Ramona Neal</cp:lastModifiedBy>
  <cp:revision>1</cp:revision>
  <dcterms:created xsi:type="dcterms:W3CDTF">2023-06-28T16:38:00Z</dcterms:created>
  <dcterms:modified xsi:type="dcterms:W3CDTF">2023-06-28T17:39:00Z</dcterms:modified>
</cp:coreProperties>
</file>